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最高人民法院行政审判庭关于对包头市人民政府办公厅转发《包头市城市公共客运交通线路经营权有偿出让和转让的实施办法》中设定罚则是否符合法律、法规规定问题的答复</w:t>
      </w:r>
    </w:p>
    <w:p>
      <w:r>
        <w:t>　　内蒙古自治区高级人民法院：　　你院《关于对包头市人民政府办公厅转发〈包头市城市公共客运交通线路经营权有偿出让和转让的实施办法〉中设定罚则是否符合法律、法规问题的请示》收悉。经研究，答复如下：　　包头市人民政府办公厅转发的包头市城乡建设局《包头市城市公共客运交通线路经营权有权出让和转让的实施办法》中设定的行政处罚种类，缺乏法律、法规依据，不宜作为审查被诉具体行政行为是否合法的根据。　　此复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