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最高人民法院执行办公室关于对案外人未协助法院冻结债权应如何处理问题的复函</w:t>
      </w:r>
    </w:p>
    <w:p>
      <w:r>
        <w:t>　　江苏省高级人民法院：　　你院《关于案外人沛县城镇郝小楼村村委员未协助法院冻结债权应如何处理的请示报告》收悉。经研究，答复如下：　　徐州市中级人民法院在诉讼中做出了查封冻结盐城金海岸建筑安装有限公司（下称建筑公司）财产的裁定，并向沛县城镇郝小楼村村委会（下称村委会）发出了冻结建筑公司对村委会的债权的协助执行通知书。当你院[2001]苏民终字第154号民事调解书确定建筑公司对村委会的债权时，徐州中院对该债权的冻结尚未逾期，仍然有效，因此村委会不得就该债权向建筑公司支付。如果村委会在收到上述调解书后，擅自向建筑公司支付，致使徐州中院的生效法律文书无法执行，则除可以根据《中华人民共和国民事诉讼法》第一百零二条的规定，对村委会妨害民事诉讼的行为进行处罚外，也可以根据最高人民法院《关于执行工作若干问题的规定（试行）》第四十四条的规定，责令村委会限期追回财产或承担相应的赔偿责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