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九七刑法实施后发生的非法买卖枪支案件，审理时新的司法解释尚未作出，是否可以参照1995年9月20日最高人民法院《关于办理非法制造、买卖、运输非军用枪支、弹药刑事案件适用法律问题的解释》的规定审理案件请示的复函</w:t>
      </w:r>
    </w:p>
    <w:p>
      <w:r>
        <w:t>　　安徽省高级人民法院：　　你院[2003]皖刑监字第1号《关于九七刑法实施后发生的非法买卖枪支案件，审理时新的司法解释尚未作出，是否可以参照1995年9月20日最高人民法院〈关于办理非法制造、买卖、运输非军用枪支、弹药刑事案件适用法律问题的解释〉的规定审理案件的请示报告》收悉。经研究，答复如下：　　原审被告人侯磊非法买卖枪支的行为发生在修订后的《刑法》实施以后，而该案审理时《最高人民法院关于审理非法制造、买卖、运输枪支、弹药、爆炸物等刑事案件具体应用法律若干问题的解释》尚未颁布，因此，依照我院法发[1997]3号《关于认真学习宣传贯彻修订的〈中华人民共和国刑法〉的通知》的精神，该案应参照1995年9月20日最高人民法院法发〔1995〕20号《关于办理非法制造、买卖、运输非军用枪支、弹药刑事案件适用法律问题的解释》的规定办理。　　最高人民法院　　二○○三年七月二十九日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