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全国人民代表大会常务委员会关于增加《中华人民共和国澳门特别行政区基本法》附件三所列全国性法律的决定
 Decision of the Standing Committee of the National People&amp;apos;s Congress on Adding Laws to the List of the National Laws in Annex III to the Basic Law of the Macao Special Administrative Region of the People&amp;apos;s Republic of China
</w:t>
      </w:r>
    </w:p>
    <w:p>
      <w:pPr>
        <w:pStyle w:val="Subtitle"/>
      </w:pPr>
      <w:r>
        <w:t>(Adopted at the 13th Meeting of the Standing Committee of the Ninth National People's Congress on December 20, 1999)</w:t>
      </w:r>
    </w:p>
    <w:p>
      <w:r>
        <w:t>　　The following national Laws shall be added to Annex III to the Basic Law of the Macao Special Administrative Region of the People's Republic of China:　　1. The Law on the Exclusive Economic Zone and Continental Shelf of the People's Republic of China;　　2. Law of the People's Republic of China on Garrisoning the Macao Special Administrative Region.　　The above-mentioned national laws shall be promulgated or implemented through legislation by the Macao Special Administrative Region as of December 20, 1999.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