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中华人民共和国水法（修订）</w:t>
      </w:r>
    </w:p>
    <w:p>
      <w:pPr>
        <w:pStyle w:val="Subtitle"/>
      </w:pPr>
      <w:r>
        <w:t>（2002年8月29日第九届全国人民代表大会常务委员会第二十九次会议修订通过  2002年8月29日中华人民共和国主席令第七十四号公布  自2002年10月1日起施行  根据2009年8月27日第十一届全国人民代表大会常务委员会第十次会议通过的《关于修改部分法律的决定》修正）</w:t>
      </w:r>
    </w:p>
    <w:p>
      <w:r>
        <w:t>第一章　总则第二章　水资源规划第三章　水资源开发利用第四章　水资源、水域和水工程的保护第五章　水资源配置和节约使用第六章　水事纠纷处理与执法监督检查第七章　法律责任第八章　附则 第一章　总则　　第一条　为了合理开发、利用、节约和保护水资源，防治水害，实现水资源的可持续利用，适应国民经济和社会发展的需要，制定本法。　　第二条　在中华人民共和国领域内开发、利用、节约、保护、管理水资源，防治水害，适用本法。　　本法所称水资源，包括地表水和地下水。　　第三条　水资源属于国家所有。水资源的所有权由国务院代表国家行使。农村集体经济组织的水塘和由农村集体经济组织修建管理的水库中的水，归各该农村集体经济组织使用。　　第四条　开发、利用、节约、保护水资源和防治水害，应当全面规划、统筹兼顾、标本兼治、综合利用、讲求效益，发挥水资源的多种功能，协调好生活、生产经营和生态环境用水。　　第五条　县级以上人民政府应当加强水利基础设施建设，并将其纳入本级国民经济和社会发展计划。　　第六条　国家鼓励单位和个人依法开发、利用水资源，并保护其合法权益。开发、利用水资源的单位和个人有依法保护水资源的义务。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　　第八条　国家厉行节约用水，大力推行节约用水措施，推广节约用水新技术、新工艺，发展节水型工业、农业和服务业，建立节水型社会。　　各级人民政府应当采取措施，加强对节约用水的管理，建立节约用水技术开发推广体系，培育和发展节约用水产业。　　单位和个人有节约用水的义务。　　第九条　国家保护水资源，采取有效措施，保护植被，植树种草，涵养水源，防治水土流失和水体污染，改善生态环境。　　第十条　国家鼓励和支持开发、利用、节约、保护、管理水资源和防治水害的先进科学技术的研究、推广和应用。　　第十一条　在开发、利用、节约、保护、管理水资源和防治水害等方面成绩显著的单位和个人，由人民政府给予奖励。　　第十二条　国家对水资源实行流域管理与行政区域管理相结合的管理体制。　　国务院水行政主管部门负责全国水资源的统一管理和监督工作。　　国务院水行政主管部门在国家确定的重要江河、湖泊设立的流域管理机构（以下简称流域管理机构），在所管辖的范围内行使法律、行政法规规定的和国务院水行政主管部门授予的水资源管理和监督职责。　　县级以上地方人民政府水行政主管部门按照规定的权限，负责本行政区域内水资源的统一管理和监督工作。　　第十三条　国务院有关部门按照职责分工，负责水资源开发、利用、节约和保护的有关工作。　　县级以上地方人民政府有关部门按照职责分工，负责本行政区域内水资源开发、利用、节约和保护的有关工作。第二章　水资源规划　　第十四条　国家制定全国水资源战略规划。　　开发、利用、节约、保护水资源和防治水害，应当按照流域、区域统一制定规划。规划分为流域规划和区域规划。流域规划包括流域综合规划和流域专业规划；区域规划包括区域综合规划和区域专业规划。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　　第十五条　流域范围内的区域规划应当服从流域规划，专业规划应当服从综合规划。　　流域综合规划和区域综合规划以及与土地利用关系密切的专业规划，应当与国民经济和社会发展规划以及土地利用总体规划、城市总体规划和环境保护规划相协调，兼顾各地区、各行业的需要。　　第十六条　制定规划，必须进行水资源综合科学考察和调查评价。水资源综合科学考察和调查评价，由县级以上人民政府水行政主管部门会同同级有关部门组织进行。　　县级以上人民政府应当加强水文、水资源信息系统建设。县级以上人民政府水行政主管部门和流域管理机构应当加强对水资源的动态监测。　　基本水文资料应当按照国家有关规定予以公开。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　　专业规划由县级以上人民政府有关部门编制，征求同级其他有关部门意见后，报本级人民政府批准。其中，防洪规划、水土保持规划的编制、批准，依照防洪法、水土保持法的有关规定执行。　　第十八条　规划一经批准，必须严格执行。　　经批准的规划需要修改时，必须按照规划编制程序经原批准机关批准。　　第十九条　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第三章　水资源开发利用　　第二十条　开发、利用水资源，应当坚持兴利与除害相结合，兼顾上下游、左右岸和有关地区之间的利益，充分发挥水资源的综合效益，并服从防洪的总体安排。　　第二十一条　开发、利用水资源，应当首先满足城乡居民生活用水，并兼顾农业、工业、生态环境用水以及航运等需要。　　在干旱和半干旱地区开发、利用水资源，应当充分考虑生态环境用水需要。　　第二十二条　跨流域调水，应当进行全面规划和科学论证，统筹兼顾调出和调入流域的用水需要，防止对生态环境造成破坏。　　第二十三条　地方各级人民政府应当结合本地区水资源的实际情况，按照地表水与地下水统一调度开发、开源与节流相结合、节流优先和污水处理再利用的原则，合理组织开发、综合利用水资源。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　　第二十四条　在水资源短缺的地区，国家鼓励对雨水和微咸水的收集、开发、利用和对海水的利用、淡化。　　第二十五条　地方各级人民政府应当加强对灌溉、排涝、水土保持工作的领导，促进农业生产发展；在容易发生盐碱化和渍害的地区，应当采取措施，控制和降低地下水的水位。　　农村集体经济组织或者其成员依法在本集体经济组织所有的集体土地或者承包土地上投资兴建水工程设施的，按照谁投资建设谁管理和谁受益的原则，对水工程设施及其蓄水进行管理和合理使用。　　农村集体经济组织修建水库应当经县级以上地方人民政府水行政主管部门批准。　　第二十六条　国家鼓励开发、利用水能资源。在水能丰富的河流，应当有计划地进行多目标梯级开发。　　建设水力发电站，应当保护生态环境，兼顾防洪、供水、灌溉、航运、竹木流放和渔业等方面的需要。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　　在不通航的河流或者人工水道上修建闸坝后可以通航的，闸坝建设单位应当同时修建过船设施或者预留过船设施位置。　　第二十八条　任何单位和个人引水、截（蓄）水、排水，不得损害公共利益和他人的合法权益。　　第二十九条　国家对水工程建设移民实行开发性移民的方针，按照前期补偿、补助与后期扶持相结合的原则，妥善安排移民的生产和生活，保护移民的合法权益。　　移民安置应当与工程建设同步进行。建设单位应当根据安置地区的环境容量和可持续发展的原则，因地制宜，编制移民安置规划，经依法批准后，由有关地方人民政府组织实施。所需移民经费列入工程建设投资计划。第四章　水资源、水域和水工程的保护　　第三十条　县级以上人民政府水行政主管部门、流域管理机构以及其他有关部门在制定水资源开发、利用规划和调度水资源时，应当注意维持江河的合理流量和湖泊、水库以及地下水的合理水位，维护水体的自然净化能力。　　第三十一条　从事水资源开发、利用、节约、保护和防治水害等水事活动，应当遵守经批准的规划；因违反规划造成江河和湖泊水域使用功能降低、地下水超采、地面沉降、水体污染的，应当承担治理责任。　　开采矿藏或者建设地下工程，因疏干排水导致地下水水位下降、水源枯竭或者地面塌陷，采矿单位或者建设单位应当采取补救措施；对他人生活和生产造成损失的，依法给予补偿。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　　县级以上人民政府水行政主管部门或者流域管理机构应当按照水功能区对水质的要求和水体的自然净化能力，核定该水域的纳污能力，向环境保护行政主管部门提出该水域的限制排污总量意见。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　　第三十三条　国家建立饮用水水源保护区制度。省、自治区、直辖市人民政府应当划定饮用水水源保护区，并采取措施，防止水源枯竭和水体污染，保证城乡居民饮用水安全。　　第三十四条　禁止在饮用水水源保护区内设置排污口。　　在江河、湖泊新建、改建或者扩大排污口，应当经过有管辖权的水行政主管部门或者流域管理机构同意，由环境保护行政主管部门负责对该建设项目的环境影响报告书进行审批。　　第三十五条　从事工程建设，占用农业灌溉水源、灌排工程设施，或者对原有灌溉用水、供水水源有不利影响的，建设单位应当采取相应的补救措施；造成损失的，依法给予补偿。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　　第三十七条　禁止在江河、湖泊、水库、运河、渠道内弃置、堆放阻碍行洪的物体和种植阻碍行洪的林木及高秆作物。　　禁止在河道管理范围内建设妨碍行洪的建筑物、构筑物以及从事影响河势稳定、危害河岸堤防安全和其他妨碍河道行洪的活动。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因建设前款工程设施，需要扩建、改建、拆除或者损坏原有水工程设施的，建设单位应当负担扩建、改建的费用和损失补偿。但是，原有工程设施属于违法工程的除外。　　第三十九条　国家实行河道采砂许可制度。河道采砂许可制度实施办法，由国务院规定。　　在河道管理范围内采砂，影响河势稳定或者危及堤防安全的，有关县级以上人民政府水行政主管部门应当划定禁采区和规定禁采期，并予以公告。　　第四十条　禁止围湖造地。已经围垦的，应当按照国家规定的防洪标准有计划地退地还湖。　　禁止围垦河道。确需围垦的，应当经过科学论证，经省、自治区、直辖市人民政府水行政主管部门或者国务院水行政主管部门同意后，报本级人民政府批准。　　第四十一条　单位和个人有保护水工程的义务，不得侵占、毁坏堤防、护岸、防汛、水文监测、水文地质监测等工程设施。　　第四十二条　县级以上地方人民政府应当采取措施，保障本行政区域内水工程，特别是水坝和堤防的安全，限期消除险情。水行政主管部门应当加强对水工程安全的监督管理。　　第四十三条　国家对水工程实施保护。国家所有的水工程应当按照国务院的规定划定工程管理和保护范围。　　国务院水行政主管部门或者流域管理机构管理的水工程，由主管部门或者流域管理机构商有关省、自治区、直辖市人民政府划定工程管理和保护范围。　　前款规定以外的其他水工程，应当按照省、自治区、直辖市人民政府的规定，划定工程保护范围和保护职责。　　在水工程保护范围内，禁止从事影响水工程运行和危害水工程安全的爆破、打井、采石、取土等活动。第五章　水资源配置和节约使用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　　水中长期供求规划应当依据水的供求现状、国民经济和社会发展规划、流域规划、区域规划，按照水资源供需协调、综合平衡、保护生态、厉行节约、合理开源的原则制定。　　第四十五条　调蓄径流和分配水量，应当依据流域规划和水中长期供求规划，以流域为单元制定水量分配方案。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　　水量分配方案和旱情紧急情况下的水量调度预案经批准后，有关地方人民政府必须执行。　　在不同行政区域之间的边界河流上建设水资源开发、利用项目，应当符合该流域经批准的水量分配方案，由有关县级以上地方人民政府报共同的上一级人民政府水行政主管部门或者有关流域管理机构批准。　　第四十六条　县级以上地方人民政府水行政主管部门或者流域管理机构应当根据批准的水量分配方案和年度预测来水量，制定年度水量分配方案和调度计划，实施水量统一调度；有关地方人民政府必须服从。　　国家确定的重要江河、湖泊的年度水量分配方案，应当纳入国家的国民经济和社会发展年度计划。　　第四十七条　国家对用水实行总量控制和定额管理相结合的制度。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　　县级以上地方人民政府发展计划主管部门会同同级水行政主管部门，根据用水定额、经济技术条件以及水量分配方案确定的可供本行政区域使用的水量，制定年度用水计划，对本行政区域内的年度用水实行总量控制。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　　实施取水许可制度和征收管理水资源费的具体办法，由国务院规定。　　第四十九条　用水应当计量，并按照批准的用水计划用水。　　用水实行计量收费和超定额累进加价制度。　　第五十条　各级人民政府应当推行节水灌溉方式和节水技术，对农业蓄水、输水工程采取必要的防渗漏措施，提高农业用水效率。　　第五十一条　工业用水应当采用先进技术、工艺和设备，增加循环用水次数，提高水的重复利用率。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　　第五十二条　城市人民政府应当因地制宜采取有效措施，推广节水型生活用水器具，降低城市供水管网漏失率，提高生活用水效率；加强城市污水集中处理，鼓励使用再生水，提高污水再生利用率。　　第五十三条　新建、扩建、改建建设项目，应当制订节水措施方案，配套建设节水设施。节水设施应当与主体工程同时设计、同时施工、同时投产。　　供水企业和自建供水设施的单位应当加强供水设施的维护管理，减少水的漏失。　　第五十四条　各级人民政府应当积极采取措施，改善城乡居民的饮用水条件。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第六章　水事纠纷处理与执法监督检查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　　在水事纠纷解决前，当事人不得单方面改变现状。　　第五十八条　县级以上人民政府或者其授权的部门在处理水事纠纷时，有权采取临时处置措施，有关各方或者当事人必须服从。　　第五十九条　县级以上人民政府水行政主管部门和流域管理机构应当对违反本法的行为加强监督检查并依法进行查处。　　水政监督检查人员应当忠于职守，秉公执法。　　第六十条　县级以上人民政府水行政主管部门、流域管理机构及其水政监督检查人员履行本法规定的监督检查职责时，有权采取下列措施：　　（一）要求被检查单位提供有关文件、证照、资料；　　（二）要求被检查单位就执行本法的有关问题作出说明；　　（三）进入被检查单位的生产场所进行调查；　　（四）责令被检查单位停止违反本法的行为，履行法定义务。　　第六十一条　有关单位或者个人对水政监督检查人员的监督检查工作应当给予配合，不得拒绝或者阻碍水政监督检查人员依法执行职务。　　第六十二条　水政监督检查人员在履行监督检查职责时，应当向被检查单位或者个人出示执法证件。　　第六十三条　县级以上人民政府或者上级水行政主管部门发现本级或者下级水行政主管部门在监督检查工作中有违法或者失职行为的，应当责令其限期改正。第七章　法律责任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虽经水行政主管部门或者流域管理机构同意，但未按照要求修建前款所列工程设施的，由县级以上人民政府水行政主管部门或者流域管理机构依据职权，责令限期改正，按照情节轻重，处一万元以上十万元以下的罚款。　　第六十六条　有下列行为之一，且防洪法未作规定的，由县级以上人民政府水行政主管部门或者流域管理机构依据职权，责令停止违法行为，限期清除障碍或者采取其他补救措施，处一万元以上五万元以下的罚款：　　（一）在江河、湖泊、水库、运河、渠道内弃置、堆放阻碍行洪的物体和种植阻碍行洪的林木及高秆作物的；　　（二）围湖造地或者未经批准围垦河道的。　　第六十七条　在饮用水水源保护区内设置排污口的，由县级以上地方人民政府责令限期拆除、恢复原状；逾期不拆除、不恢复原状的，强行拆除、恢复原状，并处五万元以上十万元以下的罚款。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　　第六十八条　生产、销售或者在生产经营中使用国家明令淘汰的落后的、耗水量高的工艺、设备和产品的，由县级以上地方人民政府经济综合主管部门责令停止生产、销售或者使用，处二万元以上十万元以下的罚款。　　第六十九条　有下列行为之一的，由县级以上人民政府水行政主管部门或者流域管理机构依据职权，责令停止违法行为，限期采取补救措施，处二万元以上十万元以下的罚款；情节严重的，吊销其取水许可证：　　（一）未经批准擅自取水的；　　（二）未依照批准的取水许可规定条件取水的。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第七十一条　建设项目的节水设施没有建成或者没有达到国家规定的要求，擅自投入使用的，由县级以上人民政府有关部门或者流域管理机构依据职权，责令停止使用，限期改正，处五万元以上十万元以下的罚款。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（一）侵占、毁坏水工程及堤防、护岸等有关设施，毁坏防汛、水文监测、水文地质监测设施的；　　（二）在水工程保护范围内，从事影响水工程运行和危害水工程安全的爆破、打井、采石、取土等活动的。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　　第七十四条　在水事纠纷发生及其处理过程中煽动闹事、结伙斗殴、抢夺或者损坏公私财物、非法限制他人人身自由，构成犯罪的，依照刑法的有关规定追究刑事责任；尚不够刑事处罚的，由公安机关依法给予治安管理处罚。　　第七十五条　不同行政区域之间发生水事纠纷，有下列行为之一的，对负有责任的主管人员和其他直接责任人员依法给予行政处分：　　（一）拒不执行水量分配方案和水量调度预案的；　　（二）拒不服从水量统一调度的；　　（三）拒不执行上一级人民政府的裁决的；　　（四）在水事纠纷解决前，未经各方达成协议或者上一级人民政府批准，单方面违反本法规定改变水的现状的。　　第七十六条　引水、截（蓄）水、排水，损害公共利益或者他人合法权益的，依法承担民事责任。　　第七十七条　对违反本法第三十九条有关河道采砂许可制度规定的行政处罚，由国务院规定。第八章　附则　　第七十八条　中华人民共和国缔结或者参加的与国际或者国境边界河流、湖泊有关的国际条约、协定与中华人民共和国法律有不同规定的，适用国际条约、协定的规定。但是，中华人民共和国声明保留的条款除外。　　第七十九条　本法所称水工程，是指在江河、湖泊和地下水源上开发、利用、控制、调配和保护水资源的各类工程。　　第八十条　海水的开发、利用、保护和管理，依照有关法律的规定执行。　　第八十一条　从事防洪活动，依照防洪法的规定执行。　　水污染防治，依照水污染防治法的规定执行。　　第八十二条　本法自２００２年１０月１日起施行。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